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13E13" w:rsidRDefault="00022E20" w:rsidP="004C00E8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313E13">
        <w:rPr>
          <w:rFonts w:ascii="黑体" w:eastAsia="黑体" w:hAnsi="黑体" w:hint="eastAsia"/>
          <w:b/>
          <w:sz w:val="44"/>
          <w:szCs w:val="44"/>
        </w:rPr>
        <w:t>征信知识普及</w:t>
      </w:r>
    </w:p>
    <w:p w:rsidR="00022E20" w:rsidRDefault="00022E20">
      <w:pPr>
        <w:rPr>
          <w:rFonts w:ascii="仿宋" w:eastAsia="仿宋" w:hAnsi="仿宋" w:hint="eastAsia"/>
          <w:sz w:val="28"/>
          <w:szCs w:val="28"/>
        </w:rPr>
      </w:pPr>
    </w:p>
    <w:p w:rsidR="00943B84" w:rsidRDefault="00943B84" w:rsidP="00943B8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43B84">
        <w:rPr>
          <w:rFonts w:ascii="仿宋" w:eastAsia="仿宋" w:hAnsi="仿宋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了</w:t>
      </w:r>
      <w:r w:rsidRPr="00943B84">
        <w:rPr>
          <w:rFonts w:ascii="仿宋" w:eastAsia="仿宋" w:hAnsi="仿宋"/>
          <w:sz w:val="28"/>
          <w:szCs w:val="28"/>
        </w:rPr>
        <w:t>让更</w:t>
      </w:r>
      <w:r>
        <w:rPr>
          <w:rFonts w:ascii="仿宋" w:eastAsia="仿宋" w:hAnsi="仿宋"/>
          <w:sz w:val="28"/>
          <w:szCs w:val="28"/>
        </w:rPr>
        <w:t>多的人主动关心自己的信用记录，帮助消费者形成健康的信用消费习惯</w:t>
      </w:r>
      <w:r>
        <w:rPr>
          <w:rFonts w:ascii="仿宋" w:eastAsia="仿宋" w:hAnsi="仿宋" w:hint="eastAsia"/>
          <w:sz w:val="28"/>
          <w:szCs w:val="28"/>
        </w:rPr>
        <w:t>，</w:t>
      </w:r>
      <w:r w:rsidRPr="00943B84">
        <w:rPr>
          <w:rFonts w:ascii="仿宋" w:eastAsia="仿宋" w:hAnsi="仿宋"/>
          <w:sz w:val="28"/>
          <w:szCs w:val="28"/>
        </w:rPr>
        <w:t>进一步拓宽征信知识宣传的深度和广度，提高社会公众的信用意识和维权意识，推动社会信用体系建设，2008年6月14日，人民银行首次在全国各地举办个人“信用记录关爱日”活动，面向社会公众进行个人信用报告查询、征信知识咨询等主题宣传。</w:t>
      </w:r>
    </w:p>
    <w:p w:rsidR="00022E20" w:rsidRPr="00022E20" w:rsidRDefault="00022E20" w:rsidP="00022E2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22E20">
        <w:rPr>
          <w:rFonts w:ascii="仿宋" w:eastAsia="仿宋" w:hAnsi="仿宋" w:hint="eastAsia"/>
          <w:sz w:val="28"/>
          <w:szCs w:val="28"/>
        </w:rPr>
        <w:t>征信是指依法收集、整理、保存、加工自然人、法人及其他组织的信用信息，并对外提供信用报告、信用评估、信用信息咨询等服务，帮助客户判断、控制信用风险，进行信用管理的活动。</w:t>
      </w:r>
    </w:p>
    <w:p w:rsidR="00022E20" w:rsidRPr="00022E20" w:rsidRDefault="00022E20" w:rsidP="000F7FE8">
      <w:pPr>
        <w:ind w:firstLineChars="195" w:firstLine="548"/>
        <w:rPr>
          <w:rFonts w:ascii="仿宋" w:eastAsia="仿宋" w:hAnsi="仿宋" w:hint="eastAsia"/>
          <w:b/>
          <w:sz w:val="28"/>
          <w:szCs w:val="28"/>
        </w:rPr>
      </w:pPr>
      <w:r w:rsidRPr="00022E20">
        <w:rPr>
          <w:rFonts w:ascii="仿宋" w:eastAsia="仿宋" w:hAnsi="仿宋" w:hint="eastAsia"/>
          <w:b/>
          <w:sz w:val="28"/>
          <w:szCs w:val="28"/>
        </w:rPr>
        <w:t>一、征信的有关概念</w:t>
      </w:r>
    </w:p>
    <w:p w:rsidR="00022E20" w:rsidRPr="00022E20" w:rsidRDefault="00022E20" w:rsidP="00022E20">
      <w:pPr>
        <w:ind w:firstLineChars="196" w:firstLine="551"/>
        <w:rPr>
          <w:rFonts w:ascii="仿宋" w:eastAsia="仿宋" w:hAnsi="仿宋"/>
          <w:sz w:val="28"/>
          <w:szCs w:val="28"/>
        </w:rPr>
      </w:pPr>
      <w:r w:rsidRPr="00022E20">
        <w:rPr>
          <w:rFonts w:ascii="仿宋" w:eastAsia="仿宋" w:hAnsi="仿宋" w:hint="eastAsia"/>
          <w:b/>
          <w:bCs/>
          <w:sz w:val="28"/>
          <w:szCs w:val="28"/>
        </w:rPr>
        <w:t>信用：</w:t>
      </w:r>
      <w:r w:rsidRPr="00022E20">
        <w:rPr>
          <w:rFonts w:ascii="仿宋" w:eastAsia="仿宋" w:hAnsi="仿宋" w:hint="eastAsia"/>
          <w:sz w:val="28"/>
          <w:szCs w:val="28"/>
        </w:rPr>
        <w:t>指在交易的一方承诺未来偿还的前提下，另一方为其提供商品或服务的行为，是随着商品流转与货币流转相分离，商品运动与货币运动产生时空分离而产生的。信用既是社会经济主体的一种理性行为，也是一种能力体现。</w:t>
      </w:r>
    </w:p>
    <w:p w:rsidR="00022E20" w:rsidRPr="00022E20" w:rsidRDefault="00022E20" w:rsidP="00022E20">
      <w:pPr>
        <w:rPr>
          <w:rFonts w:ascii="仿宋" w:eastAsia="仿宋" w:hAnsi="仿宋"/>
          <w:sz w:val="28"/>
          <w:szCs w:val="28"/>
        </w:rPr>
      </w:pPr>
      <w:r w:rsidRPr="00022E20">
        <w:rPr>
          <w:rFonts w:ascii="宋体" w:eastAsia="宋体" w:hAnsi="宋体" w:cs="宋体" w:hint="eastAsia"/>
          <w:b/>
          <w:bCs/>
          <w:sz w:val="28"/>
          <w:szCs w:val="28"/>
        </w:rPr>
        <w:t> 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r w:rsidRPr="00022E20">
        <w:rPr>
          <w:rFonts w:ascii="仿宋" w:eastAsia="仿宋" w:hAnsi="仿宋" w:hint="eastAsia"/>
          <w:b/>
          <w:bCs/>
          <w:sz w:val="28"/>
          <w:szCs w:val="28"/>
        </w:rPr>
        <w:t>征信业务：</w:t>
      </w:r>
      <w:r w:rsidRPr="00022E20">
        <w:rPr>
          <w:rFonts w:ascii="仿宋" w:eastAsia="仿宋" w:hAnsi="仿宋" w:hint="eastAsia"/>
          <w:sz w:val="28"/>
          <w:szCs w:val="28"/>
        </w:rPr>
        <w:t>指对企业、事业单位等组织的信用信息和个人的信用信息进行采集、整理、保存、加工，并向信息使用者提供的活动。</w:t>
      </w:r>
    </w:p>
    <w:p w:rsidR="00022E20" w:rsidRPr="00022E20" w:rsidRDefault="00022E20" w:rsidP="00022E20">
      <w:pPr>
        <w:rPr>
          <w:rFonts w:ascii="仿宋" w:eastAsia="仿宋" w:hAnsi="仿宋"/>
          <w:sz w:val="28"/>
          <w:szCs w:val="28"/>
        </w:rPr>
      </w:pPr>
      <w:r w:rsidRPr="00022E20">
        <w:rPr>
          <w:rFonts w:ascii="宋体" w:eastAsia="宋体" w:hAnsi="宋体" w:cs="宋体" w:hint="eastAsia"/>
          <w:b/>
          <w:bCs/>
          <w:sz w:val="28"/>
          <w:szCs w:val="28"/>
        </w:rPr>
        <w:t> 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r w:rsidRPr="00022E20">
        <w:rPr>
          <w:rFonts w:ascii="仿宋" w:eastAsia="仿宋" w:hAnsi="仿宋" w:hint="eastAsia"/>
          <w:b/>
          <w:bCs/>
          <w:sz w:val="28"/>
          <w:szCs w:val="28"/>
        </w:rPr>
        <w:t>征信机构：</w:t>
      </w:r>
      <w:r w:rsidRPr="00022E20">
        <w:rPr>
          <w:rFonts w:ascii="仿宋" w:eastAsia="仿宋" w:hAnsi="仿宋" w:hint="eastAsia"/>
          <w:sz w:val="28"/>
          <w:szCs w:val="28"/>
        </w:rPr>
        <w:t>是指依法设立，主要经营征信业务的机构。</w:t>
      </w:r>
    </w:p>
    <w:p w:rsidR="00022E20" w:rsidRPr="00022E20" w:rsidRDefault="00022E20" w:rsidP="00022E20">
      <w:pPr>
        <w:rPr>
          <w:rFonts w:ascii="仿宋" w:eastAsia="仿宋" w:hAnsi="仿宋"/>
          <w:sz w:val="28"/>
          <w:szCs w:val="28"/>
        </w:rPr>
      </w:pPr>
      <w:r w:rsidRPr="00022E20">
        <w:rPr>
          <w:rFonts w:ascii="宋体" w:eastAsia="宋体" w:hAnsi="宋体" w:cs="宋体" w:hint="eastAsia"/>
          <w:b/>
          <w:bCs/>
          <w:sz w:val="28"/>
          <w:szCs w:val="28"/>
        </w:rPr>
        <w:t> 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r w:rsidRPr="00022E20">
        <w:rPr>
          <w:rFonts w:ascii="仿宋" w:eastAsia="仿宋" w:hAnsi="仿宋" w:hint="eastAsia"/>
          <w:b/>
          <w:bCs/>
          <w:sz w:val="28"/>
          <w:szCs w:val="28"/>
        </w:rPr>
        <w:t>信用报告：</w:t>
      </w:r>
      <w:r w:rsidRPr="00022E20">
        <w:rPr>
          <w:rFonts w:ascii="仿宋" w:eastAsia="仿宋" w:hAnsi="仿宋" w:hint="eastAsia"/>
          <w:sz w:val="28"/>
          <w:szCs w:val="28"/>
        </w:rPr>
        <w:t>是征信机构提供的关于企业或个人信用记录的文件。它是征信基础产品，系统记录企业或个人的信用活动，全面反映信息主体的信用状况。</w:t>
      </w:r>
    </w:p>
    <w:p w:rsidR="00022E20" w:rsidRPr="00022E20" w:rsidRDefault="00022E20" w:rsidP="00022E20">
      <w:pPr>
        <w:rPr>
          <w:rFonts w:ascii="仿宋" w:eastAsia="仿宋" w:hAnsi="仿宋"/>
          <w:sz w:val="28"/>
          <w:szCs w:val="28"/>
        </w:rPr>
      </w:pPr>
      <w:r w:rsidRPr="00022E20">
        <w:rPr>
          <w:rFonts w:ascii="宋体" w:eastAsia="宋体" w:hAnsi="宋体" w:cs="宋体" w:hint="eastAsia"/>
          <w:b/>
          <w:bCs/>
          <w:sz w:val="28"/>
          <w:szCs w:val="28"/>
        </w:rPr>
        <w:t> 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r w:rsidRPr="00022E20">
        <w:rPr>
          <w:rFonts w:ascii="仿宋" w:eastAsia="仿宋" w:hAnsi="仿宋" w:hint="eastAsia"/>
          <w:b/>
          <w:bCs/>
          <w:sz w:val="28"/>
          <w:szCs w:val="28"/>
        </w:rPr>
        <w:t>信用评分：</w:t>
      </w:r>
      <w:r w:rsidRPr="00022E20">
        <w:rPr>
          <w:rFonts w:ascii="仿宋" w:eastAsia="仿宋" w:hAnsi="仿宋" w:hint="eastAsia"/>
          <w:sz w:val="28"/>
          <w:szCs w:val="28"/>
        </w:rPr>
        <w:t>是在信息主体信息的基础上，运用统计方法，对消费</w:t>
      </w:r>
      <w:r w:rsidRPr="00022E20">
        <w:rPr>
          <w:rFonts w:ascii="仿宋" w:eastAsia="仿宋" w:hAnsi="仿宋" w:hint="eastAsia"/>
          <w:sz w:val="28"/>
          <w:szCs w:val="28"/>
        </w:rPr>
        <w:lastRenderedPageBreak/>
        <w:t>者或中小企业未来信用风险的一个综合评估。</w:t>
      </w:r>
    </w:p>
    <w:p w:rsidR="00022E20" w:rsidRPr="00022E20" w:rsidRDefault="00022E20" w:rsidP="00022E20">
      <w:pPr>
        <w:rPr>
          <w:rFonts w:ascii="仿宋" w:eastAsia="仿宋" w:hAnsi="仿宋"/>
          <w:sz w:val="28"/>
          <w:szCs w:val="28"/>
        </w:rPr>
      </w:pPr>
      <w:r w:rsidRPr="00022E20">
        <w:rPr>
          <w:rFonts w:ascii="宋体" w:eastAsia="宋体" w:hAnsi="宋体" w:cs="宋体" w:hint="eastAsia"/>
          <w:b/>
          <w:bCs/>
          <w:sz w:val="28"/>
          <w:szCs w:val="28"/>
        </w:rPr>
        <w:t> 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r w:rsidRPr="00022E20">
        <w:rPr>
          <w:rFonts w:ascii="仿宋" w:eastAsia="仿宋" w:hAnsi="仿宋" w:hint="eastAsia"/>
          <w:b/>
          <w:bCs/>
          <w:sz w:val="28"/>
          <w:szCs w:val="28"/>
        </w:rPr>
        <w:t>征信体系：</w:t>
      </w:r>
      <w:r w:rsidRPr="00022E20">
        <w:rPr>
          <w:rFonts w:ascii="仿宋" w:eastAsia="仿宋" w:hAnsi="仿宋" w:hint="eastAsia"/>
          <w:sz w:val="28"/>
          <w:szCs w:val="28"/>
        </w:rPr>
        <w:t>指采集、加工、分析和对外提供信用信息服务的相关制度和措施的总称，包括征信制度、信息采集、征信机构和信息市场、征信产品和服务、征信监管等方面，其目的是在保护信息主体权益的基础上，构建完善的制度与安排，促进征信业健康发展。</w:t>
      </w:r>
    </w:p>
    <w:p w:rsidR="00022E20" w:rsidRDefault="00022E20" w:rsidP="00022E20">
      <w:pPr>
        <w:rPr>
          <w:rFonts w:ascii="仿宋" w:eastAsia="仿宋" w:hAnsi="仿宋" w:hint="eastAsia"/>
          <w:sz w:val="28"/>
          <w:szCs w:val="28"/>
        </w:rPr>
      </w:pPr>
      <w:r w:rsidRPr="00022E20">
        <w:rPr>
          <w:rFonts w:ascii="宋体" w:eastAsia="宋体" w:hAnsi="宋体" w:cs="宋体" w:hint="eastAsia"/>
          <w:b/>
          <w:bCs/>
          <w:sz w:val="28"/>
          <w:szCs w:val="28"/>
        </w:rPr>
        <w:t> </w:t>
      </w:r>
      <w:r w:rsidR="00D14B54"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r w:rsidRPr="00022E20">
        <w:rPr>
          <w:rFonts w:ascii="仿宋" w:eastAsia="仿宋" w:hAnsi="仿宋" w:hint="eastAsia"/>
          <w:b/>
          <w:bCs/>
          <w:sz w:val="28"/>
          <w:szCs w:val="28"/>
        </w:rPr>
        <w:t>社会信用体系:</w:t>
      </w:r>
      <w:r w:rsidRPr="00022E20">
        <w:rPr>
          <w:rFonts w:ascii="仿宋" w:eastAsia="仿宋" w:hAnsi="仿宋" w:hint="eastAsia"/>
          <w:sz w:val="28"/>
          <w:szCs w:val="28"/>
        </w:rPr>
        <w:t>指为促进社会各方信用承诺而进行的一系列安排的总称，包括制度安排、信用信息的记录、采集和披露机制、采集和发布信用信息的机构和市场安排、监管体制、宣传教育安排等各个方面或各个小体系，其最终目标是形成良好的社会信用环境。</w:t>
      </w:r>
    </w:p>
    <w:p w:rsidR="00623396" w:rsidRDefault="00623396" w:rsidP="000F7FE8">
      <w:pPr>
        <w:ind w:firstLineChars="196" w:firstLine="551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二、征信分类</w:t>
      </w:r>
    </w:p>
    <w:p w:rsidR="000B7532" w:rsidRPr="000B7532" w:rsidRDefault="00D55238" w:rsidP="00D5523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征信，</w:t>
      </w:r>
      <w:r w:rsidR="000B7532" w:rsidRPr="000B7532">
        <w:rPr>
          <w:rFonts w:ascii="仿宋" w:eastAsia="仿宋" w:hAnsi="仿宋" w:hint="eastAsia"/>
          <w:sz w:val="28"/>
          <w:szCs w:val="28"/>
        </w:rPr>
        <w:t>按业务模式可分为企业征信和个人征信两类</w:t>
      </w:r>
    </w:p>
    <w:p w:rsidR="00D55238" w:rsidRDefault="00D55238" w:rsidP="00D55238">
      <w:pPr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0B7532" w:rsidRPr="000B7532">
        <w:rPr>
          <w:rFonts w:ascii="仿宋" w:eastAsia="仿宋" w:hAnsi="仿宋" w:hint="eastAsia"/>
          <w:sz w:val="28"/>
          <w:szCs w:val="28"/>
        </w:rPr>
        <w:t>企业征信主要是收集企业信用信息、生产企业信用产品的机构；</w:t>
      </w:r>
    </w:p>
    <w:p w:rsidR="00623396" w:rsidRPr="000B7532" w:rsidRDefault="00D55238" w:rsidP="00D55238">
      <w:pPr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0B7532" w:rsidRPr="000B7532">
        <w:rPr>
          <w:rFonts w:ascii="仿宋" w:eastAsia="仿宋" w:hAnsi="仿宋" w:hint="eastAsia"/>
          <w:sz w:val="28"/>
          <w:szCs w:val="28"/>
        </w:rPr>
        <w:t>个人征信主要是收集个人信用信息、生产个人信用产品的机构。</w:t>
      </w:r>
    </w:p>
    <w:p w:rsidR="00943B84" w:rsidRPr="00943B84" w:rsidRDefault="00504E8E" w:rsidP="00B32C7F">
      <w:pPr>
        <w:ind w:firstLineChars="196" w:firstLine="5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943B84" w:rsidRPr="00943B84">
        <w:rPr>
          <w:rFonts w:ascii="仿宋" w:eastAsia="仿宋" w:hAnsi="仿宋" w:hint="eastAsia"/>
          <w:b/>
          <w:sz w:val="28"/>
          <w:szCs w:val="28"/>
        </w:rPr>
        <w:t>、</w:t>
      </w:r>
      <w:r w:rsidR="00943B84" w:rsidRPr="00943B84">
        <w:rPr>
          <w:rFonts w:ascii="仿宋" w:eastAsia="仿宋" w:hAnsi="仿宋"/>
          <w:b/>
          <w:bCs/>
          <w:sz w:val="28"/>
          <w:szCs w:val="28"/>
        </w:rPr>
        <w:t>什么是个人信用报告</w:t>
      </w:r>
    </w:p>
    <w:p w:rsidR="00943B84" w:rsidRPr="00943B84" w:rsidRDefault="00943B84" w:rsidP="00943B84">
      <w:pPr>
        <w:rPr>
          <w:rFonts w:ascii="仿宋" w:eastAsia="仿宋" w:hAnsi="仿宋"/>
          <w:sz w:val="28"/>
          <w:szCs w:val="28"/>
        </w:rPr>
      </w:pPr>
      <w:r w:rsidRPr="00943B84">
        <w:rPr>
          <w:rFonts w:ascii="仿宋" w:eastAsia="仿宋" w:hAnsi="仿宋"/>
          <w:sz w:val="28"/>
          <w:szCs w:val="28"/>
        </w:rPr>
        <w:t xml:space="preserve">　　个人信用报告是征信机构出具的记录个人过去信用信息的文件，它系统全面地记录个人信用活动、反映个人信用状况。它可以帮助交易各方了解对方信用状况，方便个人达成经济金融交易，可以说是个人的“经济身份证”。</w:t>
      </w:r>
    </w:p>
    <w:p w:rsidR="00943B84" w:rsidRPr="00943B84" w:rsidRDefault="00943B84" w:rsidP="00943B84">
      <w:pPr>
        <w:rPr>
          <w:rFonts w:ascii="仿宋" w:eastAsia="仿宋" w:hAnsi="仿宋"/>
          <w:sz w:val="28"/>
          <w:szCs w:val="28"/>
        </w:rPr>
      </w:pPr>
      <w:r w:rsidRPr="00943B84">
        <w:rPr>
          <w:rFonts w:ascii="仿宋" w:eastAsia="仿宋" w:hAnsi="仿宋"/>
          <w:sz w:val="28"/>
          <w:szCs w:val="28"/>
        </w:rPr>
        <w:t xml:space="preserve">　　个人信用报告主要包括以下信息：</w:t>
      </w:r>
    </w:p>
    <w:p w:rsidR="00943B84" w:rsidRPr="00943B84" w:rsidRDefault="00943B84" w:rsidP="00943B84">
      <w:pPr>
        <w:rPr>
          <w:rFonts w:ascii="仿宋" w:eastAsia="仿宋" w:hAnsi="仿宋"/>
          <w:sz w:val="28"/>
          <w:szCs w:val="28"/>
        </w:rPr>
      </w:pPr>
      <w:r w:rsidRPr="00943B84">
        <w:rPr>
          <w:rFonts w:ascii="仿宋" w:eastAsia="仿宋" w:hAnsi="仿宋"/>
          <w:sz w:val="28"/>
          <w:szCs w:val="28"/>
        </w:rPr>
        <w:t xml:space="preserve">　　(一)基本信息：姓名、身份证号、家庭住址、工作单位等。</w:t>
      </w:r>
    </w:p>
    <w:p w:rsidR="00943B84" w:rsidRPr="00943B84" w:rsidRDefault="00943B84" w:rsidP="00943B84">
      <w:pPr>
        <w:rPr>
          <w:rFonts w:ascii="仿宋" w:eastAsia="仿宋" w:hAnsi="仿宋"/>
          <w:sz w:val="28"/>
          <w:szCs w:val="28"/>
        </w:rPr>
      </w:pPr>
      <w:r w:rsidRPr="00943B84">
        <w:rPr>
          <w:rFonts w:ascii="仿宋" w:eastAsia="仿宋" w:hAnsi="仿宋"/>
          <w:sz w:val="28"/>
          <w:szCs w:val="28"/>
        </w:rPr>
        <w:lastRenderedPageBreak/>
        <w:t xml:space="preserve">　　(二)贷款信息：何时在哪家银行贷了多少款、还了多少款、还有多少款没有还、是否按时还款等。</w:t>
      </w:r>
    </w:p>
    <w:p w:rsidR="00943B84" w:rsidRPr="00943B84" w:rsidRDefault="00943B84" w:rsidP="00943B84">
      <w:pPr>
        <w:rPr>
          <w:rFonts w:ascii="仿宋" w:eastAsia="仿宋" w:hAnsi="仿宋"/>
          <w:sz w:val="28"/>
          <w:szCs w:val="28"/>
        </w:rPr>
      </w:pPr>
      <w:r w:rsidRPr="00943B84">
        <w:rPr>
          <w:rFonts w:ascii="仿宋" w:eastAsia="仿宋" w:hAnsi="仿宋"/>
          <w:sz w:val="28"/>
          <w:szCs w:val="28"/>
        </w:rPr>
        <w:t xml:space="preserve">　　(三)信用卡信息：办理了哪几家银行的信用卡、信用卡的透支额度、还款记录等。</w:t>
      </w:r>
    </w:p>
    <w:p w:rsidR="00943B84" w:rsidRPr="00943B84" w:rsidRDefault="00943B84" w:rsidP="00943B84">
      <w:pPr>
        <w:rPr>
          <w:rFonts w:ascii="仿宋" w:eastAsia="仿宋" w:hAnsi="仿宋"/>
          <w:sz w:val="28"/>
          <w:szCs w:val="28"/>
        </w:rPr>
      </w:pPr>
      <w:r w:rsidRPr="00943B84">
        <w:rPr>
          <w:rFonts w:ascii="仿宋" w:eastAsia="仿宋" w:hAnsi="仿宋"/>
          <w:sz w:val="28"/>
          <w:szCs w:val="28"/>
        </w:rPr>
        <w:t xml:space="preserve">　　(四)查询信用报告的记录：计算机会自动记载何时何人出于什么原因查看了个人信用报告。</w:t>
      </w:r>
    </w:p>
    <w:p w:rsidR="00D14B54" w:rsidRPr="00943B84" w:rsidRDefault="00154B65" w:rsidP="00B32C7F">
      <w:pPr>
        <w:ind w:firstLineChars="196" w:firstLine="551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943B84" w:rsidRPr="00943B84">
        <w:rPr>
          <w:rFonts w:ascii="仿宋" w:eastAsia="仿宋" w:hAnsi="仿宋" w:hint="eastAsia"/>
          <w:b/>
          <w:sz w:val="28"/>
          <w:szCs w:val="28"/>
        </w:rPr>
        <w:t>、如何查询信用报告和失信记录</w:t>
      </w:r>
    </w:p>
    <w:p w:rsidR="00154B65" w:rsidRDefault="00154B65" w:rsidP="00943B8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（一）信用报告查询</w:t>
      </w:r>
    </w:p>
    <w:p w:rsidR="00154B65" w:rsidRDefault="00154B65" w:rsidP="00943B8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中国人民银行</w:t>
      </w:r>
      <w:r w:rsidR="00943B84" w:rsidRPr="00943B84">
        <w:rPr>
          <w:rFonts w:ascii="仿宋" w:eastAsia="仿宋" w:hAnsi="仿宋" w:hint="eastAsia"/>
          <w:sz w:val="28"/>
          <w:szCs w:val="28"/>
        </w:rPr>
        <w:t>征信中心已经为个人</w:t>
      </w:r>
      <w:r w:rsidR="00D901D1">
        <w:rPr>
          <w:rFonts w:ascii="仿宋" w:eastAsia="仿宋" w:hAnsi="仿宋" w:hint="eastAsia"/>
          <w:sz w:val="28"/>
          <w:szCs w:val="28"/>
        </w:rPr>
        <w:t>和企业</w:t>
      </w:r>
      <w:r w:rsidR="00943B84" w:rsidRPr="00943B84">
        <w:rPr>
          <w:rFonts w:ascii="仿宋" w:eastAsia="仿宋" w:hAnsi="仿宋" w:hint="eastAsia"/>
          <w:sz w:val="28"/>
          <w:szCs w:val="28"/>
        </w:rPr>
        <w:t>提供了多种便捷的信用报告查询服务渠道：</w:t>
      </w:r>
    </w:p>
    <w:p w:rsidR="00154B65" w:rsidRDefault="00154B65" w:rsidP="00943B8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1.中国</w:t>
      </w:r>
      <w:r w:rsidR="00943B84" w:rsidRPr="00943B84">
        <w:rPr>
          <w:rFonts w:ascii="仿宋" w:eastAsia="仿宋" w:hAnsi="仿宋" w:hint="eastAsia"/>
          <w:sz w:val="28"/>
          <w:szCs w:val="28"/>
        </w:rPr>
        <w:t>人民银行分支机构</w:t>
      </w:r>
      <w:r w:rsidRPr="00943B84">
        <w:rPr>
          <w:rFonts w:ascii="仿宋" w:eastAsia="仿宋" w:hAnsi="仿宋" w:hint="eastAsia"/>
          <w:sz w:val="28"/>
          <w:szCs w:val="28"/>
        </w:rPr>
        <w:t>现场查询</w:t>
      </w:r>
      <w:r w:rsidR="00943B84" w:rsidRPr="00943B84">
        <w:rPr>
          <w:rFonts w:ascii="仿宋" w:eastAsia="仿宋" w:hAnsi="仿宋" w:hint="eastAsia"/>
          <w:sz w:val="28"/>
          <w:szCs w:val="28"/>
        </w:rPr>
        <w:t>；</w:t>
      </w:r>
    </w:p>
    <w:p w:rsidR="00022E20" w:rsidRDefault="00154B65" w:rsidP="00943B8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2.中国人民银行征信中心网站通过互联网查询</w:t>
      </w:r>
      <w:r w:rsidR="00943B84" w:rsidRPr="00943B84">
        <w:rPr>
          <w:rFonts w:ascii="仿宋" w:eastAsia="仿宋" w:hAnsi="仿宋" w:hint="eastAsia"/>
          <w:sz w:val="28"/>
          <w:szCs w:val="28"/>
        </w:rPr>
        <w:t>。</w:t>
      </w:r>
    </w:p>
    <w:p w:rsidR="00623396" w:rsidRDefault="00154B65" w:rsidP="00154B6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（二）失信记录查询</w:t>
      </w:r>
    </w:p>
    <w:p w:rsidR="00154B65" w:rsidRDefault="00154B65" w:rsidP="00154B6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可通过“信用中国”网站查询失信被执行人。</w:t>
      </w:r>
    </w:p>
    <w:p w:rsidR="00F761CE" w:rsidRPr="00B32C7F" w:rsidRDefault="00B32C7F" w:rsidP="00B32C7F">
      <w:pPr>
        <w:ind w:firstLineChars="196" w:firstLine="551"/>
        <w:rPr>
          <w:rFonts w:ascii="仿宋" w:eastAsia="仿宋" w:hAnsi="仿宋" w:hint="eastAsia"/>
          <w:b/>
          <w:sz w:val="28"/>
          <w:szCs w:val="28"/>
        </w:rPr>
      </w:pPr>
      <w:r w:rsidRPr="00B32C7F">
        <w:rPr>
          <w:rFonts w:ascii="仿宋" w:eastAsia="仿宋" w:hAnsi="仿宋" w:hint="eastAsia"/>
          <w:b/>
          <w:sz w:val="28"/>
          <w:szCs w:val="28"/>
        </w:rPr>
        <w:t>五、个人信用的重要性</w:t>
      </w:r>
    </w:p>
    <w:p w:rsidR="00B32C7F" w:rsidRPr="00F761CE" w:rsidRDefault="00B32C7F" w:rsidP="00B32C7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2C7F">
        <w:rPr>
          <w:rFonts w:ascii="仿宋" w:eastAsia="仿宋" w:hAnsi="仿宋"/>
          <w:sz w:val="28"/>
          <w:szCs w:val="28"/>
        </w:rPr>
        <w:t>个人征信所涉及到的信用记录，以后更会成为我们的第二种身份证，就算现在离开身份证我们都会觉得寸步难行</w:t>
      </w:r>
      <w:r>
        <w:rPr>
          <w:rFonts w:ascii="仿宋" w:eastAsia="仿宋" w:hAnsi="仿宋" w:hint="eastAsia"/>
          <w:sz w:val="28"/>
          <w:szCs w:val="28"/>
        </w:rPr>
        <w:t>，</w:t>
      </w:r>
      <w:r w:rsidRPr="00B32C7F">
        <w:rPr>
          <w:rFonts w:ascii="仿宋" w:eastAsia="仿宋" w:hAnsi="仿宋"/>
          <w:sz w:val="28"/>
          <w:szCs w:val="28"/>
        </w:rPr>
        <w:t>我们生活中的</w:t>
      </w:r>
      <w:r>
        <w:rPr>
          <w:rFonts w:ascii="仿宋" w:eastAsia="仿宋" w:hAnsi="仿宋" w:hint="eastAsia"/>
          <w:sz w:val="28"/>
          <w:szCs w:val="28"/>
        </w:rPr>
        <w:t>很多</w:t>
      </w:r>
      <w:r w:rsidRPr="00B32C7F">
        <w:rPr>
          <w:rFonts w:ascii="仿宋" w:eastAsia="仿宋" w:hAnsi="仿宋"/>
          <w:sz w:val="28"/>
          <w:szCs w:val="28"/>
        </w:rPr>
        <w:t>大事情，</w:t>
      </w:r>
      <w:r>
        <w:rPr>
          <w:rFonts w:ascii="仿宋" w:eastAsia="仿宋" w:hAnsi="仿宋" w:hint="eastAsia"/>
          <w:sz w:val="28"/>
          <w:szCs w:val="28"/>
        </w:rPr>
        <w:t>都</w:t>
      </w:r>
      <w:r w:rsidRPr="00B32C7F">
        <w:rPr>
          <w:rFonts w:ascii="仿宋" w:eastAsia="仿宋" w:hAnsi="仿宋"/>
          <w:sz w:val="28"/>
          <w:szCs w:val="28"/>
        </w:rPr>
        <w:t>离不开信用报告，例如买房、买车、找工作，办信用卡、租房、买保险</w:t>
      </w:r>
      <w:r>
        <w:rPr>
          <w:rFonts w:ascii="仿宋" w:eastAsia="仿宋" w:hAnsi="仿宋" w:hint="eastAsia"/>
          <w:sz w:val="28"/>
          <w:szCs w:val="28"/>
        </w:rPr>
        <w:t>等等。</w:t>
      </w:r>
    </w:p>
    <w:sectPr w:rsidR="00B32C7F" w:rsidRPr="00F76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14E" w:rsidRDefault="003D514E" w:rsidP="005E7964">
      <w:r>
        <w:separator/>
      </w:r>
    </w:p>
  </w:endnote>
  <w:endnote w:type="continuationSeparator" w:id="1">
    <w:p w:rsidR="003D514E" w:rsidRDefault="003D514E" w:rsidP="005E7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14E" w:rsidRDefault="003D514E" w:rsidP="005E7964">
      <w:r>
        <w:separator/>
      </w:r>
    </w:p>
  </w:footnote>
  <w:footnote w:type="continuationSeparator" w:id="1">
    <w:p w:rsidR="003D514E" w:rsidRDefault="003D514E" w:rsidP="005E7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964"/>
    <w:rsid w:val="00022E20"/>
    <w:rsid w:val="000B7532"/>
    <w:rsid w:val="000F7FE8"/>
    <w:rsid w:val="00154B65"/>
    <w:rsid w:val="00313E13"/>
    <w:rsid w:val="003D514E"/>
    <w:rsid w:val="004C00E8"/>
    <w:rsid w:val="00504E8E"/>
    <w:rsid w:val="005E7964"/>
    <w:rsid w:val="00623396"/>
    <w:rsid w:val="00943B84"/>
    <w:rsid w:val="00A94BDE"/>
    <w:rsid w:val="00B32C7F"/>
    <w:rsid w:val="00D14B54"/>
    <w:rsid w:val="00D55238"/>
    <w:rsid w:val="00D901D1"/>
    <w:rsid w:val="00F7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79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7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7964"/>
    <w:rPr>
      <w:sz w:val="18"/>
      <w:szCs w:val="18"/>
    </w:rPr>
  </w:style>
  <w:style w:type="character" w:styleId="a5">
    <w:name w:val="Hyperlink"/>
    <w:basedOn w:val="a0"/>
    <w:uiPriority w:val="99"/>
    <w:unhideWhenUsed/>
    <w:rsid w:val="00943B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4047">
      <w:bodyDiv w:val="1"/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9469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5843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1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0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5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3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879596">
      <w:bodyDiv w:val="1"/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727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6527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6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94309">
      <w:bodyDiv w:val="1"/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1510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93055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28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3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6155">
      <w:bodyDiv w:val="1"/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499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30131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4110">
      <w:bodyDiv w:val="1"/>
      <w:marLeft w:val="0"/>
      <w:marRight w:val="0"/>
      <w:marTop w:val="0"/>
      <w:marBottom w:val="0"/>
      <w:divBdr>
        <w:top w:val="single" w:sz="18" w:space="0" w:color="B8001F"/>
        <w:left w:val="none" w:sz="0" w:space="0" w:color="auto"/>
        <w:bottom w:val="none" w:sz="0" w:space="0" w:color="auto"/>
        <w:right w:val="none" w:sz="0" w:space="0" w:color="auto"/>
      </w:divBdr>
      <w:divsChild>
        <w:div w:id="7026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581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罗金辉</dc:creator>
  <cp:keywords/>
  <dc:description/>
  <cp:lastModifiedBy>罗金辉</cp:lastModifiedBy>
  <cp:revision>16</cp:revision>
  <dcterms:created xsi:type="dcterms:W3CDTF">2017-06-08T08:13:00Z</dcterms:created>
  <dcterms:modified xsi:type="dcterms:W3CDTF">2017-06-08T09:07:00Z</dcterms:modified>
</cp:coreProperties>
</file>