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TCRC创多年新低提振铜价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TCRC创多年新低提振铜价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12月6</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12月6</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12月6日，沪铜主力合约上涨0.27%，收于74730元/吨，持仓量15.5万手，较上一交易日减少0.04万手，成交量5.6万手，较上一交易日增加0.18万手。目前影响铜价的因素如下：</w:t>
                            </w:r>
                          </w:p>
                          <w:p w14:paraId="36E2F0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宏观方面，美联储12降息预期强烈。</w:t>
                            </w:r>
                          </w:p>
                          <w:p w14:paraId="637F61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供给方面，智利矿业巨头安托法加斯塔与中国江西铜业就2025年的铜精矿加工精炼费用（TC/RC）达成了重要协议。2025年的铜精矿加工费（TC）定为每吨21.25美元，精炼费（RC）定为每磅2.125美分。这一费用水平创下自1992年以来的新低，该协议透露出市场对未来铜精矿供应状况的深刻担忧。印度Adani Enterprises Ltd的子公司Kutch Copper Ltd已经开始运营，预计将在明年2月至3月达到满负荷生产。这家铜冶炼厂初始产能为50万吨，高于截至2024年3月印度财政年度阴极铜进口量36.3万吨。钢联调研数据显示，2024年11月国内电解铜实际产量96.51万吨，环比减少1.5%，同比减少2.05%。2024年12月国内电解铜预计产量100.74万吨，环比增加4.38%，同比增加1.1%。</w:t>
                            </w:r>
                          </w:p>
                          <w:p w14:paraId="5F813C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需求方面，奥维云网数据显示，2024年12月，家用空调排产1,722万台，同比增长42.1%。2024年前三季度，电网投资完成额3982亿元，同比增长21.1%；预计2024年全年，国家电网完成电网投资6000亿元，同比新增711亿元，同比增长约13.7%，这是自2017年以来，电网投资额增速首次超过10%。乘联会初步统计：今年11月，乘用车市场零售244.6万辆，同比去年同期增长18%，较上月同期增长8%，新能源车市场零售127.7万辆，同比去年同期增长52%，较上月同期增长7%。</w:t>
                            </w:r>
                          </w:p>
                          <w:p w14:paraId="7094F9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库存方面，12月6日，LME铜库存269800吨，一周降幅0.4%。上期所铜库存97056吨，一周下降10.13%。上期所铜仓单21201吨，周降幅11.28%。</w:t>
                            </w:r>
                          </w:p>
                          <w:p w14:paraId="76B2E7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展望后市，美联储降息预期及国内铜市供需偏紧提振铜价，警惕近期上演逼仓行情。</w:t>
                            </w:r>
                          </w:p>
                          <w:p w14:paraId="47024A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12月6日，沪铜主力合约上涨0.27%，收于74730元/吨，持仓量15.5万手，较上一交易日减少0.04万手，成交量5.6万手，较上一交易日增加0.18万手。目前影响铜价的因素如下：</w:t>
                      </w:r>
                    </w:p>
                    <w:p w14:paraId="36E2F0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宏观方面，美联储12降息预期强烈。</w:t>
                      </w:r>
                    </w:p>
                    <w:p w14:paraId="637F61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供给方面，智利矿业巨头安托法加斯塔与中国江西铜业就2025年的铜精矿加工精炼费用（TC/RC）达成了重要协议。2025年的铜精矿加工费（TC）定为每吨21.25美元，精炼费（RC）定为每磅2.125美分。这一费用水平创下自1992年以来的新低，该协议透露出市场对未来铜精矿供应状况的深刻担忧。印度Adani Enterprises Ltd的子公司Kutch Copper Ltd已经开始运营，预计将在明年2月至3月达到满负荷生产。这家铜冶炼厂初始产能为50万吨，高于截至2024年3月印度财政年度阴极铜进口量36.3万吨。钢联调研数据显示，2024年11月国内电解铜实际产量96.51万吨，环比减少1.5%，同比减少2.05%。2024年12月国内电解铜预计产量100.74万吨，环比增加4.38%，同比增加1.1%。</w:t>
                      </w:r>
                    </w:p>
                    <w:p w14:paraId="5F813C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需求方面，奥维云网数据显示，2024年12月，家用空调排产1,722万台，同比增长42.1%。2024年前三季度，电网投资完成额3982亿元，同比增长21.1%；预计2024年全年，国家电网完成电网投资6000亿元，同比新增711亿元，同比增长约13.7%，这是自2017年以来，电网投资额增速首次超过10%。乘联会初步统计：今年11月，乘用车市场零售244.6万辆，同比去年同期增长18%，较上月同期增长8%，新能源车市场零售127.7万辆，同比去年同期增长52%，较上月同期增长7%。</w:t>
                      </w:r>
                    </w:p>
                    <w:p w14:paraId="7094F9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库存方面，12月6日，LME铜库存269800吨，一周降幅0.4%。上期所铜库存97056吨，一周下降10.13%。上期所铜仓单21201吨，周降幅11.28%。</w:t>
                      </w:r>
                    </w:p>
                    <w:p w14:paraId="76B2E7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展望后市，美联储降息预期及国内铜市供需偏紧提振铜价，警惕近期上演逼仓行情。</w:t>
                      </w:r>
                    </w:p>
                    <w:p w14:paraId="47024A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418"/>
      <w:bookmarkStart w:id="2" w:name="_Toc28347"/>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7432"/>
      <w:bookmarkStart w:id="5" w:name="_Toc6507"/>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6282"/>
      <w:bookmarkStart w:id="7" w:name="_Toc32073"/>
      <w:bookmarkStart w:id="8" w:name="_Toc12990"/>
      <w:bookmarkStart w:id="9" w:name="_Toc27433"/>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6240"/>
      <w:bookmarkStart w:id="11" w:name="_Toc28434"/>
      <w:bookmarkStart w:id="12" w:name="_Toc3290"/>
      <w:r>
        <w:rPr>
          <w:rFonts w:hint="eastAsia"/>
        </w:rPr>
        <w:t>联系电话：400-930-7770</w:t>
      </w:r>
      <w:bookmarkEnd w:id="10"/>
      <w:bookmarkEnd w:id="11"/>
      <w:bookmarkEnd w:id="12"/>
    </w:p>
    <w:p w14:paraId="75CC5BD9">
      <w:pPr>
        <w:pStyle w:val="5"/>
        <w:rPr>
          <w:rFonts w:hint="eastAsia"/>
        </w:rPr>
      </w:pPr>
      <w:bookmarkStart w:id="13" w:name="_Toc11652"/>
      <w:bookmarkStart w:id="14" w:name="_Toc20314"/>
      <w:bookmarkStart w:id="15" w:name="_Toc20212"/>
      <w:bookmarkStart w:id="16" w:name="_Toc2684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A1F4553"/>
    <w:rsid w:val="2A6D2F75"/>
    <w:rsid w:val="2A7730A2"/>
    <w:rsid w:val="2A8D5C1A"/>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871</Words>
  <Characters>917</Characters>
  <Lines>11</Lines>
  <Paragraphs>3</Paragraphs>
  <TotalTime>42</TotalTime>
  <ScaleCrop>false</ScaleCrop>
  <LinksUpToDate>false</LinksUpToDate>
  <CharactersWithSpaces>926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2024-12-09T01:16:30Z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7D423E5969CE4D538646A08EBA32B7B1_13</vt:lpwstr>
  </property>
</Properties>
</file>